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E9" w:rsidRPr="0024412B" w:rsidRDefault="00FB78E9" w:rsidP="00FB78E9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5264F6">
        <w:rPr>
          <w:sz w:val="28"/>
          <w:szCs w:val="28"/>
        </w:rPr>
        <w:t xml:space="preserve">Zápisnica zo </w:t>
      </w:r>
      <w:r w:rsidRPr="005264F6">
        <w:rPr>
          <w:sz w:val="28"/>
          <w:szCs w:val="28"/>
          <w:lang w:val="pl-PL"/>
        </w:rPr>
        <w:t>6</w:t>
      </w:r>
      <w:r w:rsidR="00E004C7">
        <w:rPr>
          <w:sz w:val="28"/>
          <w:szCs w:val="28"/>
          <w:lang w:val="pl-PL"/>
        </w:rPr>
        <w:t>5</w:t>
      </w:r>
      <w:r w:rsidRPr="005264F6">
        <w:rPr>
          <w:sz w:val="28"/>
          <w:szCs w:val="28"/>
        </w:rPr>
        <w:t>. zasadnutia</w:t>
      </w:r>
      <w:r w:rsidRPr="0024412B">
        <w:rPr>
          <w:sz w:val="28"/>
          <w:szCs w:val="28"/>
        </w:rPr>
        <w:t xml:space="preserve"> Výboru pre makroekonomické prognózy</w:t>
      </w:r>
    </w:p>
    <w:p w:rsidR="00FB78E9" w:rsidRDefault="00FB78E9" w:rsidP="00FB78E9"/>
    <w:p w:rsidR="00FB78E9" w:rsidRPr="00D91DC4" w:rsidRDefault="00FB78E9" w:rsidP="00FB78E9">
      <w:pPr>
        <w:pBdr>
          <w:bottom w:val="single" w:sz="4" w:space="1" w:color="auto"/>
        </w:pBdr>
        <w:jc w:val="both"/>
        <w:rPr>
          <w:color w:val="FF0000"/>
        </w:rPr>
      </w:pPr>
      <w:r>
        <w:t>6</w:t>
      </w:r>
      <w:r w:rsidR="00E004C7">
        <w:t>5</w:t>
      </w:r>
      <w:r>
        <w:t xml:space="preserve">. zasadnutie Výboru pre makroekonomické prognózy sa konalo dňa </w:t>
      </w:r>
      <w:r w:rsidR="008D61C4">
        <w:t>8</w:t>
      </w:r>
      <w:r>
        <w:t>.</w:t>
      </w:r>
      <w:r w:rsidR="008D61C4">
        <w:t>11</w:t>
      </w:r>
      <w:r>
        <w:t>.2023 vo forme duálneho (fyzicky/online) zasadania.</w:t>
      </w:r>
    </w:p>
    <w:p w:rsidR="00FB78E9" w:rsidRPr="0024412B" w:rsidRDefault="00FB78E9" w:rsidP="00FB78E9">
      <w:pPr>
        <w:pBdr>
          <w:bottom w:val="single" w:sz="4" w:space="1" w:color="auto"/>
        </w:pBdr>
        <w:jc w:val="both"/>
        <w:rPr>
          <w:b/>
        </w:rPr>
      </w:pPr>
      <w:r w:rsidRPr="0024412B">
        <w:rPr>
          <w:b/>
        </w:rPr>
        <w:t>Rokovania sa zúčastnili:</w:t>
      </w:r>
    </w:p>
    <w:p w:rsidR="00FB78E9" w:rsidRDefault="00FB78E9" w:rsidP="006446EF">
      <w:pPr>
        <w:jc w:val="both"/>
      </w:pPr>
      <w:r w:rsidRPr="00A82942">
        <w:t xml:space="preserve">Stáli členovia výboru – Juraj Valachy, Branislav </w:t>
      </w:r>
      <w:proofErr w:type="spellStart"/>
      <w:r w:rsidRPr="00A82942">
        <w:t>Žúdel</w:t>
      </w:r>
      <w:proofErr w:type="spellEnd"/>
      <w:r w:rsidRPr="00A82942">
        <w:t xml:space="preserve"> (IFP MFSR)</w:t>
      </w:r>
      <w:r w:rsidRPr="00A82942">
        <w:rPr>
          <w:lang w:val="en-US"/>
        </w:rPr>
        <w:t xml:space="preserve">; </w:t>
      </w:r>
      <w:r w:rsidR="00716243">
        <w:t xml:space="preserve">Miroslav </w:t>
      </w:r>
      <w:proofErr w:type="spellStart"/>
      <w:r w:rsidR="00716243">
        <w:t>Gavura</w:t>
      </w:r>
      <w:proofErr w:type="spellEnd"/>
      <w:r w:rsidRPr="00A82942">
        <w:t xml:space="preserve"> (NBS); </w:t>
      </w:r>
      <w:r w:rsidR="00716243">
        <w:t xml:space="preserve">Boris </w:t>
      </w:r>
      <w:proofErr w:type="spellStart"/>
      <w:r w:rsidR="00716243">
        <w:t>Fojtík</w:t>
      </w:r>
      <w:proofErr w:type="spellEnd"/>
      <w:r w:rsidR="00716243">
        <w:t xml:space="preserve"> </w:t>
      </w:r>
      <w:r w:rsidR="00A82942" w:rsidRPr="00A82942">
        <w:t>(</w:t>
      </w:r>
      <w:proofErr w:type="spellStart"/>
      <w:r w:rsidRPr="00A82942">
        <w:rPr>
          <w:lang w:val="en-US"/>
        </w:rPr>
        <w:t>Tatra</w:t>
      </w:r>
      <w:proofErr w:type="spellEnd"/>
      <w:r w:rsidRPr="00A82942">
        <w:rPr>
          <w:lang w:val="en-US"/>
        </w:rPr>
        <w:t xml:space="preserve"> Banka), Michal </w:t>
      </w:r>
      <w:proofErr w:type="spellStart"/>
      <w:r w:rsidRPr="00A82942">
        <w:rPr>
          <w:lang w:val="en-US"/>
        </w:rPr>
        <w:t>Lehuta</w:t>
      </w:r>
      <w:proofErr w:type="spellEnd"/>
      <w:r w:rsidRPr="00A82942">
        <w:rPr>
          <w:lang w:val="en-US"/>
        </w:rPr>
        <w:t xml:space="preserve"> (VÚB), </w:t>
      </w:r>
      <w:proofErr w:type="spellStart"/>
      <w:r w:rsidRPr="00A82942">
        <w:rPr>
          <w:lang w:val="en-US"/>
        </w:rPr>
        <w:t>Ľubomír</w:t>
      </w:r>
      <w:proofErr w:type="spellEnd"/>
      <w:r w:rsidRPr="00A82942">
        <w:rPr>
          <w:lang w:val="en-US"/>
        </w:rPr>
        <w:t xml:space="preserve"> </w:t>
      </w:r>
      <w:proofErr w:type="spellStart"/>
      <w:r w:rsidRPr="00A82942">
        <w:rPr>
          <w:lang w:val="en-US"/>
        </w:rPr>
        <w:t>Koršňák</w:t>
      </w:r>
      <w:proofErr w:type="spellEnd"/>
      <w:r w:rsidRPr="00A82942">
        <w:rPr>
          <w:lang w:val="en-US"/>
        </w:rPr>
        <w:t xml:space="preserve"> (</w:t>
      </w:r>
      <w:proofErr w:type="spellStart"/>
      <w:r w:rsidRPr="00A82942">
        <w:rPr>
          <w:lang w:val="en-US"/>
        </w:rPr>
        <w:t>UniCredit</w:t>
      </w:r>
      <w:proofErr w:type="spellEnd"/>
      <w:r w:rsidRPr="00A82942">
        <w:rPr>
          <w:lang w:val="en-US"/>
        </w:rPr>
        <w:t xml:space="preserve">), </w:t>
      </w:r>
      <w:proofErr w:type="spellStart"/>
      <w:r w:rsidRPr="00A82942">
        <w:rPr>
          <w:lang w:val="en-US"/>
        </w:rPr>
        <w:t>Ján</w:t>
      </w:r>
      <w:proofErr w:type="spellEnd"/>
      <w:r w:rsidRPr="00A82942">
        <w:rPr>
          <w:lang w:val="en-US"/>
        </w:rPr>
        <w:t xml:space="preserve"> </w:t>
      </w:r>
      <w:proofErr w:type="spellStart"/>
      <w:r w:rsidRPr="00A82942">
        <w:rPr>
          <w:lang w:val="en-US"/>
        </w:rPr>
        <w:t>Haluška</w:t>
      </w:r>
      <w:proofErr w:type="spellEnd"/>
      <w:r w:rsidRPr="00A82942">
        <w:rPr>
          <w:lang w:val="en-US"/>
        </w:rPr>
        <w:t xml:space="preserve"> (</w:t>
      </w:r>
      <w:proofErr w:type="spellStart"/>
      <w:r w:rsidRPr="00A82942">
        <w:rPr>
          <w:lang w:val="en-US"/>
        </w:rPr>
        <w:t>Info</w:t>
      </w:r>
      <w:r w:rsidR="00716243">
        <w:rPr>
          <w:lang w:val="en-US"/>
        </w:rPr>
        <w:t>stat</w:t>
      </w:r>
      <w:proofErr w:type="spellEnd"/>
      <w:r w:rsidR="00716243">
        <w:rPr>
          <w:lang w:val="en-US"/>
        </w:rPr>
        <w:t xml:space="preserve">), Alexander </w:t>
      </w:r>
      <w:proofErr w:type="spellStart"/>
      <w:r w:rsidR="00716243">
        <w:rPr>
          <w:lang w:val="en-US"/>
        </w:rPr>
        <w:t>Karšay</w:t>
      </w:r>
      <w:proofErr w:type="spellEnd"/>
      <w:r w:rsidR="00716243">
        <w:rPr>
          <w:lang w:val="en-US"/>
        </w:rPr>
        <w:t xml:space="preserve"> (KRRZ)</w:t>
      </w:r>
      <w:r w:rsidRPr="00A82942">
        <w:rPr>
          <w:lang w:val="en-US"/>
        </w:rPr>
        <w:t xml:space="preserve">, Marek </w:t>
      </w:r>
      <w:proofErr w:type="spellStart"/>
      <w:r w:rsidRPr="00A82942">
        <w:rPr>
          <w:lang w:val="en-US"/>
        </w:rPr>
        <w:t>Gábriš</w:t>
      </w:r>
      <w:proofErr w:type="spellEnd"/>
      <w:r w:rsidRPr="00A82942">
        <w:rPr>
          <w:lang w:val="en-US"/>
        </w:rPr>
        <w:t xml:space="preserve"> (ČSOB), </w:t>
      </w:r>
      <w:proofErr w:type="spellStart"/>
      <w:r w:rsidR="00716243">
        <w:rPr>
          <w:lang w:val="en-US"/>
        </w:rPr>
        <w:t>Matej</w:t>
      </w:r>
      <w:proofErr w:type="spellEnd"/>
      <w:r w:rsidR="00716243">
        <w:rPr>
          <w:lang w:val="en-US"/>
        </w:rPr>
        <w:t xml:space="preserve"> </w:t>
      </w:r>
      <w:proofErr w:type="spellStart"/>
      <w:r w:rsidR="00716243">
        <w:rPr>
          <w:lang w:val="en-US"/>
        </w:rPr>
        <w:t>Horňák</w:t>
      </w:r>
      <w:proofErr w:type="spellEnd"/>
      <w:r w:rsidR="006446EF" w:rsidRPr="00A82942">
        <w:rPr>
          <w:lang w:val="en-US"/>
        </w:rPr>
        <w:t xml:space="preserve"> (SLSP)</w:t>
      </w:r>
      <w:r w:rsidRPr="00A82942">
        <w:t xml:space="preserve"> a zástupcovia so štatútom pozorovateľa (NKÚ, ARDAL).</w:t>
      </w:r>
      <w:r w:rsidRPr="00F4788C">
        <w:t xml:space="preserve"> </w:t>
      </w:r>
    </w:p>
    <w:p w:rsidR="00FB78E9" w:rsidRPr="00955B53" w:rsidRDefault="00FB78E9" w:rsidP="00FB78E9">
      <w:pPr>
        <w:rPr>
          <w:b/>
        </w:rPr>
      </w:pPr>
      <w:r w:rsidRPr="00955B53">
        <w:rPr>
          <w:b/>
        </w:rPr>
        <w:t>Program:</w:t>
      </w:r>
    </w:p>
    <w:p w:rsidR="00FB78E9" w:rsidRDefault="00FB78E9" w:rsidP="00FB78E9">
      <w:pPr>
        <w:spacing w:after="120" w:line="240" w:lineRule="auto"/>
      </w:pPr>
      <w:r>
        <w:t>• Prezentácia prognózy</w:t>
      </w:r>
    </w:p>
    <w:p w:rsidR="00FB78E9" w:rsidRDefault="00FB78E9" w:rsidP="00FB78E9">
      <w:pPr>
        <w:spacing w:after="120" w:line="240" w:lineRule="auto"/>
      </w:pPr>
      <w:r>
        <w:t>• Diskusia k prognóze</w:t>
      </w:r>
    </w:p>
    <w:p w:rsidR="00FB78E9" w:rsidRDefault="00FB78E9" w:rsidP="00FB78E9">
      <w:pPr>
        <w:spacing w:after="120" w:line="240" w:lineRule="auto"/>
      </w:pPr>
      <w:r>
        <w:t>• Záver a zhrnutie</w:t>
      </w:r>
    </w:p>
    <w:p w:rsidR="00FB78E9" w:rsidRDefault="00FB78E9" w:rsidP="00FB78E9">
      <w:pPr>
        <w:pBdr>
          <w:top w:val="single" w:sz="4" w:space="1" w:color="auto"/>
        </w:pBdr>
        <w:rPr>
          <w:b/>
        </w:rPr>
      </w:pPr>
    </w:p>
    <w:p w:rsidR="00FB78E9" w:rsidRPr="0024412B" w:rsidRDefault="00FB78E9" w:rsidP="00FB78E9">
      <w:pPr>
        <w:pBdr>
          <w:top w:val="single" w:sz="4" w:space="1" w:color="auto"/>
        </w:pBdr>
        <w:rPr>
          <w:b/>
        </w:rPr>
      </w:pPr>
      <w:r w:rsidRPr="0024412B">
        <w:rPr>
          <w:b/>
        </w:rPr>
        <w:t>Prezentácia prognózy</w:t>
      </w:r>
    </w:p>
    <w:p w:rsidR="00FB78E9" w:rsidRPr="003A6BB8" w:rsidRDefault="00FB78E9" w:rsidP="00FB78E9">
      <w:pPr>
        <w:jc w:val="both"/>
      </w:pPr>
      <w:r>
        <w:t xml:space="preserve">Riaditeľ Inštitútu finančnej politiky </w:t>
      </w:r>
      <w:r w:rsidRPr="00514EA7">
        <w:t>Juraj Valachy otvoril</w:t>
      </w:r>
      <w:r w:rsidRPr="00B32891">
        <w:t xml:space="preserve"> </w:t>
      </w:r>
      <w:r>
        <w:t>6</w:t>
      </w:r>
      <w:r w:rsidR="00D05B70">
        <w:t>5</w:t>
      </w:r>
      <w:r w:rsidRPr="00B32891">
        <w:t>. zasadnutie Výboru p</w:t>
      </w:r>
      <w:r>
        <w:t xml:space="preserve">re makroekonomické prognózy. Riaditeľa </w:t>
      </w:r>
      <w:r w:rsidRPr="0017582B">
        <w:t>Odboru makroekonomických analýz a </w:t>
      </w:r>
      <w:r w:rsidRPr="00514EA7">
        <w:t>prognóz Branislav Žúdel prezentoval</w:t>
      </w:r>
      <w:r w:rsidRPr="00B32891">
        <w:t xml:space="preserve"> aktuálnu makroekonomickú prognózu IFP.</w:t>
      </w:r>
      <w:r w:rsidRPr="00B96238">
        <w:t xml:space="preserve"> Na záver prezentácie vyzval členov Výboru k vyjadreniu sa k prognóze MF</w:t>
      </w:r>
      <w:r>
        <w:t xml:space="preserve"> SR a</w:t>
      </w:r>
      <w:r w:rsidRPr="00B96238">
        <w:t xml:space="preserve"> na diskusiu:</w:t>
      </w:r>
    </w:p>
    <w:p w:rsidR="00FB78E9" w:rsidRPr="004B13D1" w:rsidRDefault="00FB78E9" w:rsidP="00FB78E9">
      <w:pPr>
        <w:spacing w:after="0"/>
        <w:rPr>
          <w:highlight w:val="yellow"/>
        </w:rPr>
      </w:pPr>
    </w:p>
    <w:p w:rsidR="00FB78E9" w:rsidRPr="008411CC" w:rsidRDefault="00FB78E9" w:rsidP="00FB78E9">
      <w:pPr>
        <w:pBdr>
          <w:bottom w:val="single" w:sz="4" w:space="1" w:color="auto"/>
        </w:pBdr>
        <w:rPr>
          <w:b/>
        </w:rPr>
      </w:pPr>
      <w:r w:rsidRPr="00A51CA7">
        <w:rPr>
          <w:b/>
        </w:rPr>
        <w:t>Názory členov výboru:</w:t>
      </w:r>
    </w:p>
    <w:p w:rsidR="00FB78E9" w:rsidRDefault="001F55E9" w:rsidP="00FB78E9">
      <w:pPr>
        <w:jc w:val="both"/>
        <w:rPr>
          <w:b/>
          <w:lang w:val="en-US"/>
        </w:rPr>
      </w:pPr>
      <w:r w:rsidRPr="001F55E9">
        <w:rPr>
          <w:b/>
          <w:u w:val="single"/>
        </w:rPr>
        <w:t>IFP</w:t>
      </w:r>
    </w:p>
    <w:p w:rsidR="005831AA" w:rsidRPr="00C01CFE" w:rsidRDefault="009275F6" w:rsidP="005831AA">
      <w:pPr>
        <w:jc w:val="both"/>
      </w:pPr>
      <w:r>
        <w:t>Riaditeľ IFP zdôraznil, že ide o mimoriadnu prognózu potrebnú na výpočet výdavkových limitov pre novú vládu. Oproti septembrovej prognóze bol</w:t>
      </w:r>
      <w:r w:rsidR="00C93761">
        <w:t>a</w:t>
      </w:r>
      <w:r>
        <w:t xml:space="preserve"> zohľadnená revízia HDP,</w:t>
      </w:r>
      <w:r w:rsidR="00C93761">
        <w:t xml:space="preserve"> rýchlejšie čerpanie eurofondov a</w:t>
      </w:r>
      <w:r>
        <w:t xml:space="preserve"> slabš</w:t>
      </w:r>
      <w:r w:rsidR="00C93761">
        <w:t xml:space="preserve">í vývoj zahraničného prostredia. Prognóza tiež predpokladá nižšiu </w:t>
      </w:r>
      <w:proofErr w:type="spellStart"/>
      <w:r w:rsidR="00C93761">
        <w:t>volatilitu</w:t>
      </w:r>
      <w:proofErr w:type="spellEnd"/>
      <w:r w:rsidR="00C93761">
        <w:t xml:space="preserve"> regulovaných cien a konsolidáciu na úrovni 0,5 % HDP ročne. Koncom novembra IFP predstaví rozpočtovú prognózu so zahrnutými novými opatreniami.</w:t>
      </w:r>
      <w:r w:rsidR="006135AC">
        <w:t xml:space="preserve"> V diskusii boli navrhnuté otázky o očakávaní ohľadom budúcich úrokových sadzieb, ponuky pracovnej sily pri negatívnej demografii a očakávaných vplyvov prechodu automobiliek na výrobu elektrických vozidiel.</w:t>
      </w:r>
      <w:r w:rsidR="005831AA">
        <w:t xml:space="preserve"> </w:t>
      </w:r>
      <w:r w:rsidR="005831AA">
        <w:t>Na základe diskusie medzi členmi Výboru riaditeľ IFP informoval členov, že v prognóze ešte môže dôjsť po porade na IFP k zmenám, resp. zvýšeniu rastu miezd v neskoršej časti horizontu. K spomínanej úprave došlo a bola členom Výboru oznámená mailom dňa 8.11.2023.</w:t>
      </w:r>
    </w:p>
    <w:p w:rsidR="00FB78E9" w:rsidRDefault="00FB78E9" w:rsidP="00FB78E9">
      <w:pPr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NBS </w:t>
      </w:r>
    </w:p>
    <w:p w:rsidR="003C1D84" w:rsidRDefault="006F0C23" w:rsidP="00FB78E9">
      <w:pPr>
        <w:jc w:val="both"/>
      </w:pPr>
      <w:r>
        <w:t>Z</w:t>
      </w:r>
      <w:r w:rsidR="00A14B4B">
        <w:t xml:space="preserve">ástupca </w:t>
      </w:r>
      <w:r w:rsidR="0086537D">
        <w:t>NBS</w:t>
      </w:r>
      <w:r w:rsidR="003C1D84">
        <w:t xml:space="preserve"> </w:t>
      </w:r>
      <w:r w:rsidR="00AA4729">
        <w:t>očakáva výraznejší pokles globálnej ekonomiky a oproti poslednej prognóze revidujú</w:t>
      </w:r>
      <w:r w:rsidR="00995BC1">
        <w:t xml:space="preserve"> </w:t>
      </w:r>
      <w:r w:rsidR="00AA4729">
        <w:t xml:space="preserve">zahraničný dopyt nadol. </w:t>
      </w:r>
      <w:r w:rsidR="005C6E08">
        <w:t xml:space="preserve">Očakávania o domácej ekonomike sú v krátkom horizonte podobné ako IFP. Scenár nezmenených politík označil ako veľmi podobný ich vnímaniu na nasledujúce 3 roky. </w:t>
      </w:r>
      <w:r w:rsidR="004B4A0D">
        <w:t>NBS čaká horší vývoj</w:t>
      </w:r>
      <w:r w:rsidR="00995BC1">
        <w:t> trhových podielov</w:t>
      </w:r>
      <w:r w:rsidR="004B4A0D">
        <w:t xml:space="preserve">, čo bude export ťahať nadol. </w:t>
      </w:r>
      <w:r w:rsidR="0098414F">
        <w:t>Smerom nadol revidujú aj vývoj automobiliek a v dlhšom horizonte vníma</w:t>
      </w:r>
      <w:r w:rsidR="00995BC1">
        <w:t xml:space="preserve"> </w:t>
      </w:r>
      <w:r w:rsidR="0098414F">
        <w:t>s</w:t>
      </w:r>
      <w:r w:rsidR="00CC3684">
        <w:t>úboj</w:t>
      </w:r>
      <w:r w:rsidR="0098414F">
        <w:t xml:space="preserve"> o trhové podiely medzi Čínou a EÚ v</w:t>
      </w:r>
      <w:r w:rsidR="00CC3684">
        <w:t xml:space="preserve"> produkcii </w:t>
      </w:r>
      <w:r w:rsidR="0098414F">
        <w:t xml:space="preserve">elektrických </w:t>
      </w:r>
      <w:r w:rsidR="00CC3684">
        <w:t>áut</w:t>
      </w:r>
      <w:r w:rsidR="00F4787E">
        <w:t xml:space="preserve"> ako kľúčový</w:t>
      </w:r>
      <w:r w:rsidR="0098414F">
        <w:t>.</w:t>
      </w:r>
      <w:r w:rsidR="00390DFA">
        <w:t xml:space="preserve"> Negatívny demografický vývoj bude znamenať</w:t>
      </w:r>
      <w:r w:rsidR="0098414F">
        <w:t xml:space="preserve"> </w:t>
      </w:r>
      <w:r w:rsidR="00390DFA">
        <w:t xml:space="preserve">napnutý trh práce a nesúlad dopytu a ponuky sa bude prehlbovať. </w:t>
      </w:r>
      <w:r w:rsidR="000C6D28">
        <w:t>Napnutý trh práce bude zrýchľovať rast miezd na konci horizontu prognózy, kde hodnotí vývoj miezd v </w:t>
      </w:r>
      <w:proofErr w:type="spellStart"/>
      <w:r w:rsidR="000C6D28">
        <w:t>makroprognóze</w:t>
      </w:r>
      <w:proofErr w:type="spellEnd"/>
      <w:r w:rsidR="000C6D28">
        <w:t xml:space="preserve"> ako konzervatívny. Zástupca NBS </w:t>
      </w:r>
      <w:r w:rsidR="000C6D28">
        <w:lastRenderedPageBreak/>
        <w:t xml:space="preserve">očakáva, že vyššie úrokové sadzby pretrvajú a v dlhodobom horizonte </w:t>
      </w:r>
      <w:r w:rsidR="005D3991">
        <w:t>pravdepodobne</w:t>
      </w:r>
      <w:r w:rsidR="000C6D28">
        <w:t xml:space="preserve"> </w:t>
      </w:r>
      <w:r w:rsidR="005D3991">
        <w:t>klesnú</w:t>
      </w:r>
      <w:r w:rsidR="000C6D28">
        <w:t xml:space="preserve"> k 3 %. </w:t>
      </w:r>
      <w:r w:rsidR="00D654B3">
        <w:t xml:space="preserve">NBS vidí riziká aj v pláne obnovy, kde </w:t>
      </w:r>
      <w:r w:rsidR="00F924C1">
        <w:t>očakáva</w:t>
      </w:r>
      <w:r w:rsidR="00D654B3">
        <w:t xml:space="preserve"> neskorší nábeh čerpania i</w:t>
      </w:r>
      <w:r w:rsidR="009A11DF">
        <w:t xml:space="preserve">nvestičných projektov. </w:t>
      </w:r>
    </w:p>
    <w:p w:rsidR="00DE09D5" w:rsidRPr="00A14B4B" w:rsidRDefault="0092264B" w:rsidP="002539BA">
      <w:pPr>
        <w:jc w:val="both"/>
      </w:pPr>
      <w:r>
        <w:t xml:space="preserve">Zástupca NBS predbežne hodnotí prognózu ako </w:t>
      </w:r>
      <w:r w:rsidRPr="00A47CF7">
        <w:rPr>
          <w:b/>
        </w:rPr>
        <w:t>realistickú</w:t>
      </w:r>
      <w:r w:rsidR="00813DFE">
        <w:rPr>
          <w:b/>
        </w:rPr>
        <w:t>.</w:t>
      </w:r>
    </w:p>
    <w:p w:rsidR="00FB78E9" w:rsidRDefault="00FB78E9" w:rsidP="00FB78E9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Infostat</w:t>
      </w:r>
      <w:proofErr w:type="spellEnd"/>
      <w:r>
        <w:rPr>
          <w:b/>
          <w:u w:val="single"/>
        </w:rPr>
        <w:t xml:space="preserve"> </w:t>
      </w:r>
    </w:p>
    <w:p w:rsidR="0086537D" w:rsidRDefault="00072C2A" w:rsidP="00FB78E9">
      <w:pPr>
        <w:jc w:val="both"/>
      </w:pPr>
      <w:r>
        <w:t xml:space="preserve">Zástupca </w:t>
      </w:r>
      <w:proofErr w:type="spellStart"/>
      <w:r>
        <w:t>Infostatu</w:t>
      </w:r>
      <w:proofErr w:type="spellEnd"/>
      <w:r>
        <w:t xml:space="preserve"> </w:t>
      </w:r>
      <w:r w:rsidR="000A4B56">
        <w:t>zdôraznil, že sa zaoberajú krátkodobým prognózovaním a preto sa k horizontu za rokom 2024 nebude vyjadrovať.</w:t>
      </w:r>
      <w:r w:rsidR="00F16A5B">
        <w:t xml:space="preserve"> </w:t>
      </w:r>
      <w:r w:rsidR="0054029A">
        <w:t xml:space="preserve">Na základe rýchleho odhadu tretieho kvartálu revidovali svoju prognózu mierne nadol, najmä </w:t>
      </w:r>
      <w:r w:rsidR="00C2678C">
        <w:t>spotrebu</w:t>
      </w:r>
      <w:r w:rsidR="0054029A">
        <w:t xml:space="preserve"> domácností, kde očakávajú vyšší pokles. Vývoj tvorby fixného kapitálu očakávajú pesimistickejšie oproti prognóze IFP, pozitívnym rizikom však ostáva dočerpanie fondov EÚ.</w:t>
      </w:r>
      <w:r w:rsidR="009D6ABE">
        <w:t xml:space="preserve"> </w:t>
      </w:r>
      <w:r w:rsidR="009E58BF">
        <w:t>O</w:t>
      </w:r>
      <w:r w:rsidR="007655B9">
        <w:t xml:space="preserve">čakáva </w:t>
      </w:r>
      <w:r w:rsidR="00C2678C">
        <w:t xml:space="preserve">aj </w:t>
      </w:r>
      <w:r w:rsidR="007655B9">
        <w:t>väčší pokles dovozu a</w:t>
      </w:r>
      <w:r w:rsidR="00C438C1">
        <w:t xml:space="preserve"> rast ekonomiky je v tomto roku držaný exportom. </w:t>
      </w:r>
      <w:r w:rsidR="009E58BF">
        <w:t xml:space="preserve">Zástupca </w:t>
      </w:r>
      <w:proofErr w:type="spellStart"/>
      <w:r w:rsidR="009E58BF">
        <w:t>Infostatu</w:t>
      </w:r>
      <w:proofErr w:type="spellEnd"/>
      <w:r w:rsidR="009E58BF">
        <w:t xml:space="preserve"> </w:t>
      </w:r>
      <w:r w:rsidR="00B424C3">
        <w:t>predpokladá negatívny vplyv čistého exportu v budúcom roku, čo však bude závisieť najmä od cien zahraničného obchodu. Pri trhu práce a inflácii počítajú s podobným vývojom ako IFP v krátkom horizonte. Úrokové sadzby očakávajú na úrovni okolo 3-4 % aj v budúcnosti.</w:t>
      </w:r>
    </w:p>
    <w:p w:rsidR="00A82942" w:rsidRPr="002539BA" w:rsidRDefault="00337342" w:rsidP="00FB78E9">
      <w:pPr>
        <w:jc w:val="both"/>
      </w:pPr>
      <w:r>
        <w:t xml:space="preserve">Zástupca </w:t>
      </w:r>
      <w:proofErr w:type="spellStart"/>
      <w:r>
        <w:t>Infostatu</w:t>
      </w:r>
      <w:proofErr w:type="spellEnd"/>
      <w:r>
        <w:t xml:space="preserve"> hodnotil prognózu ako </w:t>
      </w:r>
      <w:r w:rsidRPr="00B7036B">
        <w:rPr>
          <w:b/>
        </w:rPr>
        <w:t>realistickú</w:t>
      </w:r>
      <w:r>
        <w:t>.</w:t>
      </w:r>
    </w:p>
    <w:p w:rsidR="003059DB" w:rsidRDefault="00FB78E9" w:rsidP="00FB78E9">
      <w:pPr>
        <w:jc w:val="both"/>
        <w:rPr>
          <w:b/>
          <w:u w:val="single"/>
        </w:rPr>
      </w:pPr>
      <w:r>
        <w:rPr>
          <w:b/>
          <w:u w:val="single"/>
        </w:rPr>
        <w:t>K</w:t>
      </w:r>
      <w:r w:rsidRPr="004F32BF">
        <w:rPr>
          <w:b/>
          <w:u w:val="single"/>
        </w:rPr>
        <w:t>RRZ</w:t>
      </w:r>
    </w:p>
    <w:p w:rsidR="00C2678C" w:rsidRPr="003059DB" w:rsidRDefault="00B95645" w:rsidP="00FB78E9">
      <w:pPr>
        <w:jc w:val="both"/>
        <w:rPr>
          <w:b/>
          <w:u w:val="single"/>
        </w:rPr>
      </w:pPr>
      <w:r>
        <w:t xml:space="preserve">Zástupca KRRZ očakáva mierne pesimistickejší vývoj v budúcom roku najmä kvôli horšiemu vývoju zahraničného prostredia, čo indikujú negatívne ukazovatele z eurozóny. </w:t>
      </w:r>
      <w:r w:rsidR="003E681B">
        <w:t xml:space="preserve">Očakávania ohľadom inflácie sú v súlade s prognózou IFP. V dlhšom horizonte sú menej pesimistický a predpokladajú vyšší mzdový rast kvôli napnutému trhu práce. </w:t>
      </w:r>
      <w:r w:rsidR="0047348D">
        <w:t>Zástupca KRRZ predpokladá, že obnova globálneho rastu od roku 2025 posilní rast produktivity výrobných faktorov a potenciálny produkt bude podporený aj príchodom Volva. Tieto očakávania sa premietajú do silnejšieho rastu potenciálu oproti progn</w:t>
      </w:r>
      <w:r w:rsidR="009D5443">
        <w:t xml:space="preserve">óze IFP. Plán obnovy sa podľa KRRZ bude čerpať menej v budúcom roku a viac v ďalších rokoch, čo v budúcom roku brzdí ekonomiku </w:t>
      </w:r>
      <w:r w:rsidR="00700706">
        <w:t xml:space="preserve">v porovnaní s prognózou IFP. Predpoklady o demografickom vývoji a príchode zahraničných pracovníkov sú </w:t>
      </w:r>
      <w:r w:rsidR="0051250B">
        <w:t>v súlade</w:t>
      </w:r>
      <w:r w:rsidR="00700706">
        <w:t xml:space="preserve"> s IFP.</w:t>
      </w:r>
      <w:r w:rsidR="0051250B">
        <w:t xml:space="preserve"> </w:t>
      </w:r>
      <w:r w:rsidR="000832F2">
        <w:t>Úrokové sadzby pravdepodobne mierne klesnú zo 4 %</w:t>
      </w:r>
      <w:r w:rsidR="00700706">
        <w:t xml:space="preserve"> </w:t>
      </w:r>
      <w:r w:rsidR="000832F2">
        <w:t>a v dlhom období sa stabilizujú na úrovni 3 %.</w:t>
      </w:r>
      <w:r w:rsidR="006D0753">
        <w:t xml:space="preserve"> Zástupca KRRZ sa tiež informoval o fiškálnych nákladoch regulovaných cien energií v budúcom roku.</w:t>
      </w:r>
    </w:p>
    <w:p w:rsidR="005831AA" w:rsidRPr="00620575" w:rsidRDefault="005831AA" w:rsidP="005831AA">
      <w:pPr>
        <w:jc w:val="both"/>
      </w:pPr>
      <w:r>
        <w:t xml:space="preserve">Zástupcovia KRRZ sa k predbežnému hodnoteniu prognózy nevyjadrili Hodnotenie zasiela RRZ v stanovenom termíne. </w:t>
      </w:r>
    </w:p>
    <w:p w:rsidR="00FB78E9" w:rsidRDefault="00FB78E9" w:rsidP="00FB78E9">
      <w:pPr>
        <w:jc w:val="both"/>
        <w:rPr>
          <w:b/>
          <w:u w:val="single"/>
        </w:rPr>
      </w:pPr>
      <w:r>
        <w:rPr>
          <w:b/>
          <w:u w:val="single"/>
        </w:rPr>
        <w:t>UNICREDIT</w:t>
      </w:r>
    </w:p>
    <w:p w:rsidR="0086537D" w:rsidRDefault="00620575" w:rsidP="00FB78E9">
      <w:pPr>
        <w:jc w:val="both"/>
      </w:pPr>
      <w:r>
        <w:t xml:space="preserve">Zástupca </w:t>
      </w:r>
      <w:proofErr w:type="spellStart"/>
      <w:r>
        <w:t>Unicredit</w:t>
      </w:r>
      <w:proofErr w:type="spellEnd"/>
      <w:r>
        <w:t xml:space="preserve"> </w:t>
      </w:r>
      <w:r w:rsidR="00065E28">
        <w:t xml:space="preserve">očakáva profil čerpania Plánu obnovy a fondov EÚ posunutý viac do rokov 2025 a 2026. </w:t>
      </w:r>
      <w:r w:rsidR="00910886">
        <w:t xml:space="preserve">Pri trhu práce a raste miezd sú v rokoch 2025 a 2026 optimistickejší, kedy očakávajú napätý trh práce, čo sa premietne aj do silnejšej spotreby. </w:t>
      </w:r>
      <w:r w:rsidR="00A465ED">
        <w:t xml:space="preserve">Negatívny demografický vývoj bude v dlhšom horizonte tlačiť na mzdy, ktoré budú rásť rýchlejšie ako produktivita práce a zahraničná pracovná sila bude saturovať nedostatok pracovnej sily. </w:t>
      </w:r>
      <w:r w:rsidR="00934CF3">
        <w:t xml:space="preserve">Zástupca </w:t>
      </w:r>
      <w:proofErr w:type="spellStart"/>
      <w:r w:rsidR="00934CF3">
        <w:t>Unicredit</w:t>
      </w:r>
      <w:proofErr w:type="spellEnd"/>
      <w:r w:rsidR="00934CF3">
        <w:t xml:space="preserve"> očakáva, že úrokové sadzby sa začnú znižovať od druhej polovice budúceho roka a v dlhodobom horizonte klesnú k 2,5 %. </w:t>
      </w:r>
      <w:r w:rsidR="00A465ED">
        <w:t xml:space="preserve">Predpokladá, že prechod na výrobu elektrických áut bude plynulý a nebude sa výrazne odlišovať od bežného investičného cyklu. </w:t>
      </w:r>
      <w:r w:rsidR="007060E7">
        <w:t xml:space="preserve">Najväčšie riziko vidí v čínskych automobilkách, ktoré získavajú trhové podiely vo výrobe áut aj v dodávateľskom </w:t>
      </w:r>
      <w:r w:rsidR="001F5135">
        <w:t>reťazci.</w:t>
      </w:r>
    </w:p>
    <w:p w:rsidR="00275E3F" w:rsidRDefault="00961044" w:rsidP="00FB78E9">
      <w:pPr>
        <w:jc w:val="both"/>
      </w:pPr>
      <w:r>
        <w:t xml:space="preserve">Zástupca </w:t>
      </w:r>
      <w:proofErr w:type="spellStart"/>
      <w:r>
        <w:t>Unicredit</w:t>
      </w:r>
      <w:proofErr w:type="spellEnd"/>
      <w:r>
        <w:t xml:space="preserve"> hodnotí </w:t>
      </w:r>
      <w:r w:rsidR="00275E3F">
        <w:t>prognózu predbežne ako</w:t>
      </w:r>
      <w:r w:rsidR="00275E3F">
        <w:rPr>
          <w:b/>
        </w:rPr>
        <w:t xml:space="preserve"> realistickú</w:t>
      </w:r>
      <w:r w:rsidR="00275E3F">
        <w:t>.</w:t>
      </w:r>
    </w:p>
    <w:p w:rsidR="00FB78E9" w:rsidRDefault="00FB78E9" w:rsidP="00FB78E9">
      <w:pPr>
        <w:jc w:val="both"/>
        <w:rPr>
          <w:b/>
          <w:u w:val="single"/>
        </w:rPr>
      </w:pPr>
      <w:r w:rsidRPr="008411CC">
        <w:rPr>
          <w:b/>
          <w:u w:val="single"/>
        </w:rPr>
        <w:t>VÚB</w:t>
      </w:r>
    </w:p>
    <w:p w:rsidR="00AF4C59" w:rsidRDefault="005E2DFD" w:rsidP="00FB78E9">
      <w:pPr>
        <w:jc w:val="both"/>
      </w:pPr>
      <w:r>
        <w:t xml:space="preserve">Zástupca VÚB očakáva pesimistickejší vývoj trhu práce v najbližšom období. Vrchol dopadov zvyšovania úrokov predpokladá v budúcom </w:t>
      </w:r>
      <w:r w:rsidR="0000370C">
        <w:t xml:space="preserve">roku, čo sa premietne aj do trhu práce. Dlhší horizont vidia viac optimisticky ako prognóza IFP. Dlhodobá úroková sadzba klesne k 2,5 %. Vzhľadom na očakávaný rýchly pokles počtu obyvateľov </w:t>
      </w:r>
      <w:r w:rsidR="0000370C">
        <w:lastRenderedPageBreak/>
        <w:t xml:space="preserve">v produktívnom veku, bude rast zamestnanosti veľmi pomalý. Automobilové odvetvie podporí silnejší rast tvorby fixného kapitálu, avšak pri prechode na výrobu elektrických áut bude veľká časť súčasného kapitálu </w:t>
      </w:r>
      <w:proofErr w:type="spellStart"/>
      <w:r w:rsidR="0000370C">
        <w:t>depreciovať</w:t>
      </w:r>
      <w:proofErr w:type="spellEnd"/>
      <w:r w:rsidR="0000370C">
        <w:t>.</w:t>
      </w:r>
    </w:p>
    <w:p w:rsidR="00301610" w:rsidRPr="00B81022" w:rsidRDefault="00301610" w:rsidP="00FB78E9">
      <w:pPr>
        <w:jc w:val="both"/>
      </w:pPr>
      <w:r>
        <w:t>Zástupca VÚB predbežne hodnotí prognózu ako</w:t>
      </w:r>
      <w:r>
        <w:rPr>
          <w:b/>
        </w:rPr>
        <w:t xml:space="preserve"> </w:t>
      </w:r>
      <w:r w:rsidR="006D27FF">
        <w:rPr>
          <w:b/>
        </w:rPr>
        <w:t>realisti</w:t>
      </w:r>
      <w:r>
        <w:rPr>
          <w:b/>
        </w:rPr>
        <w:t>c</w:t>
      </w:r>
      <w:r w:rsidR="006D27FF">
        <w:rPr>
          <w:b/>
        </w:rPr>
        <w:t>k</w:t>
      </w:r>
      <w:r>
        <w:rPr>
          <w:b/>
        </w:rPr>
        <w:t>ú</w:t>
      </w:r>
      <w:r>
        <w:t>.</w:t>
      </w:r>
    </w:p>
    <w:p w:rsidR="009F5195" w:rsidRDefault="009F5195" w:rsidP="00FB78E9">
      <w:pPr>
        <w:jc w:val="both"/>
        <w:rPr>
          <w:b/>
          <w:u w:val="single"/>
        </w:rPr>
      </w:pPr>
    </w:p>
    <w:p w:rsidR="00FB78E9" w:rsidRDefault="00FB78E9" w:rsidP="00FB78E9">
      <w:pPr>
        <w:jc w:val="both"/>
        <w:rPr>
          <w:b/>
          <w:u w:val="single"/>
        </w:rPr>
      </w:pPr>
      <w:r>
        <w:rPr>
          <w:b/>
          <w:u w:val="single"/>
        </w:rPr>
        <w:t>ČSOB</w:t>
      </w:r>
    </w:p>
    <w:p w:rsidR="0086537D" w:rsidRDefault="0086537D" w:rsidP="00FB78E9">
      <w:pPr>
        <w:jc w:val="both"/>
      </w:pPr>
      <w:r>
        <w:t>Zástupca ČSOB</w:t>
      </w:r>
      <w:r w:rsidR="000417EF">
        <w:t xml:space="preserve"> </w:t>
      </w:r>
      <w:r w:rsidR="00165116">
        <w:t xml:space="preserve">vidí investície v budúcom roku optimistickejšie, kedy okrem </w:t>
      </w:r>
      <w:r w:rsidR="0084642F">
        <w:t>Plánu obnovy</w:t>
      </w:r>
      <w:r w:rsidR="00165116">
        <w:t xml:space="preserve"> a fondov EÚ môže výrazne podporiť tvorbu fixného kapitálu napriek vyšším úrokom aj súkromný sektor. </w:t>
      </w:r>
      <w:r w:rsidR="00E446A9">
        <w:t xml:space="preserve">Vnímajú riziká s ohľadom na politickú situáciu, že plán obnovy môže byť obmedzený alebo zastavený. </w:t>
      </w:r>
      <w:r w:rsidR="00A52628">
        <w:t xml:space="preserve">Očakávania o vývoji na trhu práce sú v súlade s prognózou IFP. Zástupca ČSOB sa tiež informoval ohľadom predpokladaného prítoku pracujúcich migrantov v nasledujúcich rokoch. </w:t>
      </w:r>
      <w:r w:rsidR="00710DB0">
        <w:t xml:space="preserve">Vyššie úrokové sadzby považujú za nový normál ale v dlhšom horizonte by mohli klesnúť k 2 %. </w:t>
      </w:r>
      <w:r w:rsidR="0084642F">
        <w:t>Vidí</w:t>
      </w:r>
      <w:r w:rsidR="0032148C">
        <w:t xml:space="preserve"> riziká spojené s prechodom na </w:t>
      </w:r>
      <w:proofErr w:type="spellStart"/>
      <w:r w:rsidR="0032148C">
        <w:t>elektromobilitu</w:t>
      </w:r>
      <w:proofErr w:type="spellEnd"/>
      <w:r w:rsidR="0032148C">
        <w:t>, kde negatívne vníma</w:t>
      </w:r>
      <w:r w:rsidR="0084642F">
        <w:t xml:space="preserve"> najmä</w:t>
      </w:r>
      <w:r w:rsidR="0032148C">
        <w:t xml:space="preserve"> nedostatočný počet </w:t>
      </w:r>
      <w:proofErr w:type="spellStart"/>
      <w:r w:rsidR="0032148C">
        <w:t>baterkární</w:t>
      </w:r>
      <w:proofErr w:type="spellEnd"/>
      <w:r w:rsidR="0032148C">
        <w:t xml:space="preserve"> na Slovensku.</w:t>
      </w:r>
    </w:p>
    <w:p w:rsidR="0078444E" w:rsidRPr="00747017" w:rsidRDefault="00AF06D0" w:rsidP="00747017">
      <w:r>
        <w:t>Zástupca ČSOB predbežne hodnotí prognózu ako</w:t>
      </w:r>
      <w:r w:rsidR="00CA6FF2">
        <w:rPr>
          <w:b/>
        </w:rPr>
        <w:t xml:space="preserve"> realistickú</w:t>
      </w:r>
      <w:r>
        <w:rPr>
          <w:b/>
        </w:rPr>
        <w:t>.</w:t>
      </w:r>
    </w:p>
    <w:p w:rsidR="00FB78E9" w:rsidRDefault="00FB78E9" w:rsidP="00FB78E9">
      <w:pPr>
        <w:jc w:val="both"/>
        <w:rPr>
          <w:b/>
          <w:u w:val="single"/>
        </w:rPr>
      </w:pPr>
      <w:r>
        <w:rPr>
          <w:b/>
          <w:u w:val="single"/>
        </w:rPr>
        <w:t>SLSP</w:t>
      </w:r>
    </w:p>
    <w:p w:rsidR="0086537D" w:rsidRDefault="0086537D" w:rsidP="00FB78E9">
      <w:pPr>
        <w:jc w:val="both"/>
      </w:pPr>
      <w:r>
        <w:t>Zástupca SLSP</w:t>
      </w:r>
      <w:r w:rsidR="003E72B7">
        <w:t xml:space="preserve"> očakáva vývoj v tomto roku v súlade s prognóz</w:t>
      </w:r>
      <w:r w:rsidR="00F73B99">
        <w:t>ou IFP. V budúcom roku očakáva</w:t>
      </w:r>
      <w:r w:rsidR="003E72B7">
        <w:t xml:space="preserve"> horší zahraničný dopyt a slabšiu tvorbu fixného kapitálu. </w:t>
      </w:r>
      <w:r w:rsidR="00F73B99">
        <w:t>Trh práce bude v najbližšom období stagnovať</w:t>
      </w:r>
      <w:r w:rsidR="009F3BC8">
        <w:t xml:space="preserve"> a pokles </w:t>
      </w:r>
      <w:r w:rsidR="00F73B99">
        <w:t xml:space="preserve">nastane až </w:t>
      </w:r>
      <w:r w:rsidR="009F3BC8">
        <w:t xml:space="preserve">v dlhšom horizonte, kedy bude negatívne vplývať demografia. </w:t>
      </w:r>
      <w:r w:rsidR="00F03073">
        <w:t xml:space="preserve">Vyššia inflácia klesne pomalšie a úplne odznie až v roku </w:t>
      </w:r>
      <w:r w:rsidR="00DF2D8D">
        <w:t xml:space="preserve">2026. Zástupca SLSP očakáva stabilný prítok zahraničných pracovníkov, ktorý </w:t>
      </w:r>
      <w:r w:rsidR="002D71EC">
        <w:t xml:space="preserve">čiastočne </w:t>
      </w:r>
      <w:r w:rsidR="00DF2D8D">
        <w:t>vykompenzuje chýbajúcu domácu pracovnú silu. Vzhľadom na nedostatočnú ponuku práce budú firmy viac investov</w:t>
      </w:r>
      <w:r w:rsidR="00F73B99">
        <w:t>ať do technológii, ktoré nahrádzajú</w:t>
      </w:r>
      <w:r w:rsidR="00DF2D8D">
        <w:t xml:space="preserve"> pracovnú silu. </w:t>
      </w:r>
      <w:r w:rsidR="008A7A29">
        <w:t xml:space="preserve">V dlhšom horizonte sadzby klesnú k 3 %. Pri prechode automobiliek na výrobu elektrických áut predpokladá problém na celoeurópskej </w:t>
      </w:r>
      <w:r w:rsidR="00341CAD">
        <w:t xml:space="preserve">úrovni, kde očakáva </w:t>
      </w:r>
      <w:r w:rsidR="008A7A29">
        <w:t>spoločné riešenia.</w:t>
      </w:r>
    </w:p>
    <w:p w:rsidR="00690459" w:rsidRDefault="00690459" w:rsidP="008059A3">
      <w:r>
        <w:t>Zástupca SLSP predbežne hodnotí prognózu ako</w:t>
      </w:r>
      <w:r>
        <w:rPr>
          <w:b/>
        </w:rPr>
        <w:t xml:space="preserve"> realistickú.</w:t>
      </w:r>
    </w:p>
    <w:p w:rsidR="00AD0812" w:rsidRDefault="00842789">
      <w:pPr>
        <w:rPr>
          <w:b/>
        </w:rPr>
      </w:pPr>
      <w:r w:rsidRPr="00842789">
        <w:rPr>
          <w:b/>
        </w:rPr>
        <w:t>Tatrabanka</w:t>
      </w:r>
    </w:p>
    <w:p w:rsidR="00AD0812" w:rsidRPr="00DE5CE2" w:rsidRDefault="00DE5CE2">
      <w:r w:rsidRPr="00DE5CE2">
        <w:t>Zástupca</w:t>
      </w:r>
      <w:r>
        <w:t xml:space="preserve"> Tatrabanky vníma aktuálny rok v súlade s prognózou IFP. V budúcom roku sú </w:t>
      </w:r>
      <w:r w:rsidR="00BB54D2">
        <w:t xml:space="preserve">vo svojej prognóze </w:t>
      </w:r>
      <w:r>
        <w:t>viac konzervatívni, najmä kvôli čerpaniu prostriedkov z Plánu obnovy</w:t>
      </w:r>
      <w:r w:rsidR="00F66F99">
        <w:t xml:space="preserve"> ale aj </w:t>
      </w:r>
      <w:r w:rsidR="00BB54D2">
        <w:t>vzhľadom na horší vývoj</w:t>
      </w:r>
      <w:r w:rsidR="00F66F99">
        <w:t xml:space="preserve"> zahraničného prostredia. </w:t>
      </w:r>
      <w:r w:rsidR="00606211">
        <w:t xml:space="preserve">Pri úrokových sadzbách nepredpokladajú návrat k nule, no súčasné úrovne úrokov vnímajú ako reštriktívne. </w:t>
      </w:r>
      <w:r w:rsidR="00D732B3">
        <w:t xml:space="preserve">Pokles úrokov by mohol nastať v druhej polovici 2024. </w:t>
      </w:r>
      <w:r w:rsidR="0089740F">
        <w:t xml:space="preserve">Zástupca Tatrabanky očakáva vyšší rast miezd ako IFP v dlhšom horizonte. Firmy budú pokračovať v zháňaní zahraničných pracovníkov naďalej a vývoj automobilového priemyslu vníma podobne ako ostatní členovia výboru.  </w:t>
      </w:r>
    </w:p>
    <w:p w:rsidR="00747017" w:rsidRDefault="00747017" w:rsidP="00747017">
      <w:r>
        <w:t>Zástupca Tatrabanky predbežne hodnotí prognózu ako</w:t>
      </w:r>
      <w:r>
        <w:rPr>
          <w:b/>
        </w:rPr>
        <w:t xml:space="preserve"> realistickú.</w:t>
      </w:r>
    </w:p>
    <w:p w:rsidR="00EB18AE" w:rsidRPr="00842789" w:rsidRDefault="00EB18AE" w:rsidP="00747017"/>
    <w:sectPr w:rsidR="00EB18AE" w:rsidRPr="00842789" w:rsidSect="002A646E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34" w:rsidRDefault="001840BF">
      <w:pPr>
        <w:spacing w:after="0" w:line="240" w:lineRule="auto"/>
      </w:pPr>
      <w:r>
        <w:separator/>
      </w:r>
    </w:p>
  </w:endnote>
  <w:endnote w:type="continuationSeparator" w:id="0">
    <w:p w:rsidR="00030C34" w:rsidRDefault="0018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489772"/>
      <w:docPartObj>
        <w:docPartGallery w:val="Page Numbers (Bottom of Page)"/>
        <w:docPartUnique/>
      </w:docPartObj>
    </w:sdtPr>
    <w:sdtEndPr/>
    <w:sdtContent>
      <w:p w:rsidR="002A646E" w:rsidRDefault="00844CE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1AA">
          <w:rPr>
            <w:noProof/>
          </w:rPr>
          <w:t>3</w:t>
        </w:r>
        <w:r>
          <w:fldChar w:fldCharType="end"/>
        </w:r>
      </w:p>
    </w:sdtContent>
  </w:sdt>
  <w:p w:rsidR="002A646E" w:rsidRDefault="005831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34" w:rsidRDefault="001840BF">
      <w:pPr>
        <w:spacing w:after="0" w:line="240" w:lineRule="auto"/>
      </w:pPr>
      <w:r>
        <w:separator/>
      </w:r>
    </w:p>
  </w:footnote>
  <w:footnote w:type="continuationSeparator" w:id="0">
    <w:p w:rsidR="00030C34" w:rsidRDefault="00184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A42"/>
    <w:multiLevelType w:val="hybridMultilevel"/>
    <w:tmpl w:val="C8F85884"/>
    <w:lvl w:ilvl="0" w:tplc="D9F8A2A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208B"/>
    <w:multiLevelType w:val="hybridMultilevel"/>
    <w:tmpl w:val="9920D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9"/>
    <w:rsid w:val="0000370C"/>
    <w:rsid w:val="0000769A"/>
    <w:rsid w:val="00030C34"/>
    <w:rsid w:val="00035D58"/>
    <w:rsid w:val="000417EF"/>
    <w:rsid w:val="00055E3C"/>
    <w:rsid w:val="00065E28"/>
    <w:rsid w:val="00072C2A"/>
    <w:rsid w:val="000832F2"/>
    <w:rsid w:val="000A4B56"/>
    <w:rsid w:val="000B0772"/>
    <w:rsid w:val="000B477B"/>
    <w:rsid w:val="000C6D28"/>
    <w:rsid w:val="000F15A7"/>
    <w:rsid w:val="00100555"/>
    <w:rsid w:val="00110455"/>
    <w:rsid w:val="00116A5F"/>
    <w:rsid w:val="00132322"/>
    <w:rsid w:val="00133D3A"/>
    <w:rsid w:val="001576A8"/>
    <w:rsid w:val="00165116"/>
    <w:rsid w:val="001840BF"/>
    <w:rsid w:val="001F5135"/>
    <w:rsid w:val="001F55E9"/>
    <w:rsid w:val="001F5D0F"/>
    <w:rsid w:val="0023536B"/>
    <w:rsid w:val="00242337"/>
    <w:rsid w:val="002539BA"/>
    <w:rsid w:val="00275E3F"/>
    <w:rsid w:val="002C5F57"/>
    <w:rsid w:val="002D71EC"/>
    <w:rsid w:val="002F4BB6"/>
    <w:rsid w:val="002F5BE9"/>
    <w:rsid w:val="00301610"/>
    <w:rsid w:val="003059DB"/>
    <w:rsid w:val="0032148C"/>
    <w:rsid w:val="00322958"/>
    <w:rsid w:val="00337342"/>
    <w:rsid w:val="00341CAD"/>
    <w:rsid w:val="00347FCB"/>
    <w:rsid w:val="003818BE"/>
    <w:rsid w:val="00390DFA"/>
    <w:rsid w:val="003A479E"/>
    <w:rsid w:val="003B0E4E"/>
    <w:rsid w:val="003C1D84"/>
    <w:rsid w:val="003D4A86"/>
    <w:rsid w:val="003D5488"/>
    <w:rsid w:val="003E681B"/>
    <w:rsid w:val="003E72B7"/>
    <w:rsid w:val="00426192"/>
    <w:rsid w:val="00456B90"/>
    <w:rsid w:val="00460AA0"/>
    <w:rsid w:val="0047348D"/>
    <w:rsid w:val="00474B23"/>
    <w:rsid w:val="004B4A0D"/>
    <w:rsid w:val="004C5281"/>
    <w:rsid w:val="004E3CD1"/>
    <w:rsid w:val="004E4DD1"/>
    <w:rsid w:val="0051250B"/>
    <w:rsid w:val="0054029A"/>
    <w:rsid w:val="00552ACF"/>
    <w:rsid w:val="00564F0E"/>
    <w:rsid w:val="005831AA"/>
    <w:rsid w:val="005950D5"/>
    <w:rsid w:val="005B1797"/>
    <w:rsid w:val="005C6E08"/>
    <w:rsid w:val="005D30C6"/>
    <w:rsid w:val="005D3991"/>
    <w:rsid w:val="005E2DFD"/>
    <w:rsid w:val="00606211"/>
    <w:rsid w:val="006135AC"/>
    <w:rsid w:val="00620575"/>
    <w:rsid w:val="00636698"/>
    <w:rsid w:val="006446EF"/>
    <w:rsid w:val="006522DC"/>
    <w:rsid w:val="00687032"/>
    <w:rsid w:val="00690459"/>
    <w:rsid w:val="006D0753"/>
    <w:rsid w:val="006D1428"/>
    <w:rsid w:val="006D27FF"/>
    <w:rsid w:val="006F0C23"/>
    <w:rsid w:val="00700706"/>
    <w:rsid w:val="007060E7"/>
    <w:rsid w:val="00710DB0"/>
    <w:rsid w:val="00716243"/>
    <w:rsid w:val="00720AC3"/>
    <w:rsid w:val="007356F9"/>
    <w:rsid w:val="00747017"/>
    <w:rsid w:val="007655B9"/>
    <w:rsid w:val="00775C22"/>
    <w:rsid w:val="007765C1"/>
    <w:rsid w:val="0078444E"/>
    <w:rsid w:val="00785CDE"/>
    <w:rsid w:val="007A08BB"/>
    <w:rsid w:val="00801F15"/>
    <w:rsid w:val="008059A3"/>
    <w:rsid w:val="00813DFE"/>
    <w:rsid w:val="008150EA"/>
    <w:rsid w:val="00824064"/>
    <w:rsid w:val="008355D5"/>
    <w:rsid w:val="00837C67"/>
    <w:rsid w:val="00842789"/>
    <w:rsid w:val="00844CE1"/>
    <w:rsid w:val="0084642F"/>
    <w:rsid w:val="00862C48"/>
    <w:rsid w:val="0086537D"/>
    <w:rsid w:val="0089740F"/>
    <w:rsid w:val="008A282A"/>
    <w:rsid w:val="008A7A29"/>
    <w:rsid w:val="008D61C4"/>
    <w:rsid w:val="00910886"/>
    <w:rsid w:val="0092264B"/>
    <w:rsid w:val="009275F6"/>
    <w:rsid w:val="00934CF3"/>
    <w:rsid w:val="00945C27"/>
    <w:rsid w:val="00961044"/>
    <w:rsid w:val="0098414F"/>
    <w:rsid w:val="009850F3"/>
    <w:rsid w:val="00990DD9"/>
    <w:rsid w:val="00995BC1"/>
    <w:rsid w:val="009A11DF"/>
    <w:rsid w:val="009B3BBA"/>
    <w:rsid w:val="009C08D7"/>
    <w:rsid w:val="009C4A98"/>
    <w:rsid w:val="009D08F2"/>
    <w:rsid w:val="009D5443"/>
    <w:rsid w:val="009D6ABE"/>
    <w:rsid w:val="009E3C26"/>
    <w:rsid w:val="009E58BF"/>
    <w:rsid w:val="009F3BC8"/>
    <w:rsid w:val="009F5195"/>
    <w:rsid w:val="00A14B4B"/>
    <w:rsid w:val="00A465ED"/>
    <w:rsid w:val="00A47CF7"/>
    <w:rsid w:val="00A52628"/>
    <w:rsid w:val="00A74036"/>
    <w:rsid w:val="00A82942"/>
    <w:rsid w:val="00A91CEA"/>
    <w:rsid w:val="00AA4729"/>
    <w:rsid w:val="00AB1DD0"/>
    <w:rsid w:val="00AD0812"/>
    <w:rsid w:val="00AF06D0"/>
    <w:rsid w:val="00AF4C59"/>
    <w:rsid w:val="00B424C3"/>
    <w:rsid w:val="00B7036B"/>
    <w:rsid w:val="00B77B1A"/>
    <w:rsid w:val="00B81022"/>
    <w:rsid w:val="00B95645"/>
    <w:rsid w:val="00B95A44"/>
    <w:rsid w:val="00BB2720"/>
    <w:rsid w:val="00BB54D2"/>
    <w:rsid w:val="00BD31A7"/>
    <w:rsid w:val="00BE37A6"/>
    <w:rsid w:val="00C01CFE"/>
    <w:rsid w:val="00C030F0"/>
    <w:rsid w:val="00C15C78"/>
    <w:rsid w:val="00C22D96"/>
    <w:rsid w:val="00C2678C"/>
    <w:rsid w:val="00C438C1"/>
    <w:rsid w:val="00C64364"/>
    <w:rsid w:val="00C93761"/>
    <w:rsid w:val="00CA6FF2"/>
    <w:rsid w:val="00CC17D9"/>
    <w:rsid w:val="00CC3684"/>
    <w:rsid w:val="00CD220D"/>
    <w:rsid w:val="00CD39DD"/>
    <w:rsid w:val="00CF31D3"/>
    <w:rsid w:val="00D05B70"/>
    <w:rsid w:val="00D32D88"/>
    <w:rsid w:val="00D34974"/>
    <w:rsid w:val="00D43158"/>
    <w:rsid w:val="00D654B3"/>
    <w:rsid w:val="00D732B3"/>
    <w:rsid w:val="00D745DD"/>
    <w:rsid w:val="00D97874"/>
    <w:rsid w:val="00DA6F20"/>
    <w:rsid w:val="00DA7E27"/>
    <w:rsid w:val="00DC36F1"/>
    <w:rsid w:val="00DC4EAD"/>
    <w:rsid w:val="00DE09D5"/>
    <w:rsid w:val="00DE2942"/>
    <w:rsid w:val="00DE5CE2"/>
    <w:rsid w:val="00DF2D8D"/>
    <w:rsid w:val="00E004C7"/>
    <w:rsid w:val="00E214EB"/>
    <w:rsid w:val="00E446A9"/>
    <w:rsid w:val="00E677AB"/>
    <w:rsid w:val="00E71896"/>
    <w:rsid w:val="00EB18AE"/>
    <w:rsid w:val="00EE638A"/>
    <w:rsid w:val="00F03073"/>
    <w:rsid w:val="00F13050"/>
    <w:rsid w:val="00F14DFA"/>
    <w:rsid w:val="00F16A5B"/>
    <w:rsid w:val="00F4787E"/>
    <w:rsid w:val="00F66F99"/>
    <w:rsid w:val="00F73B99"/>
    <w:rsid w:val="00F924C1"/>
    <w:rsid w:val="00FB78E9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076C"/>
  <w15:chartTrackingRefBased/>
  <w15:docId w15:val="{7F58EFB3-E3FA-445C-8A53-DBD61CD0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78E9"/>
    <w:pPr>
      <w:spacing w:after="200" w:line="276" w:lineRule="auto"/>
    </w:pPr>
    <w:rPr>
      <w:rFonts w:ascii="Arial Narrow" w:hAnsi="Arial Narrow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B7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78E9"/>
    <w:rPr>
      <w:rFonts w:ascii="Arial Narrow" w:hAnsi="Arial Narrow"/>
      <w:szCs w:val="36"/>
    </w:rPr>
  </w:style>
  <w:style w:type="paragraph" w:styleId="Odsekzoznamu">
    <w:name w:val="List Paragraph"/>
    <w:basedOn w:val="Normlny"/>
    <w:uiPriority w:val="34"/>
    <w:qFormat/>
    <w:rsid w:val="00FB7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 Richard</dc:creator>
  <cp:keywords/>
  <dc:description/>
  <cp:lastModifiedBy>Silan Jan</cp:lastModifiedBy>
  <cp:revision>181</cp:revision>
  <dcterms:created xsi:type="dcterms:W3CDTF">2023-09-18T12:58:00Z</dcterms:created>
  <dcterms:modified xsi:type="dcterms:W3CDTF">2023-11-13T07:49:00Z</dcterms:modified>
</cp:coreProperties>
</file>